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03133" w14:textId="77777777" w:rsidR="00DF29B8" w:rsidRPr="00DF29B8" w:rsidRDefault="00DF29B8" w:rsidP="00DF29B8">
      <w:pPr>
        <w:shd w:val="clear" w:color="auto" w:fill="EEF7FF"/>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F29B8">
        <w:rPr>
          <w:rFonts w:ascii="Times New Roman" w:eastAsia="Times New Roman" w:hAnsi="Times New Roman" w:cs="Times New Roman"/>
          <w:b/>
          <w:bCs/>
          <w:kern w:val="36"/>
          <w:sz w:val="48"/>
          <w:szCs w:val="48"/>
          <w14:ligatures w14:val="none"/>
        </w:rPr>
        <w:t>NC Medicaid Innovations Waiver Provider Rate Increase</w:t>
      </w:r>
    </w:p>
    <w:p w14:paraId="496C4F43" w14:textId="77777777" w:rsidR="00DF29B8" w:rsidRPr="00DF29B8" w:rsidRDefault="00DF29B8" w:rsidP="00DF29B8">
      <w:pPr>
        <w:shd w:val="clear" w:color="auto" w:fill="EEF7FF"/>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Intended to Support Innovations Waiver Services Direct Care Worker Wage Increases</w:t>
      </w:r>
    </w:p>
    <w:p w14:paraId="5B29A018"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The NC General Assembly appropriated $176 million in state and federal recurring funding in the Current Operations Appropriations Act of 2023 (SL 2023-134, Section 9E.15) to raise NC Medicaid Innovations waiver services rates so that Innovations services providers can in turn raise the hourly wages of the direct care workers (DCW) they employ.</w:t>
      </w:r>
    </w:p>
    <w:p w14:paraId="66EFA1FE"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Though the legislation does not specify the amount or percentage of the rate increase that must be passed through to DCW wage increases, the General Assembly states an intention of increasing the average hourly wage for DCWs in Innovations services by $6.50 per hour to move those workers to an average wage of $18.00/hr. The funding appropriated for State Fiscal Year (SFY) 2024 does not enable quite that large of a wage increase, but it should support significant movement in that direction.</w:t>
      </w:r>
    </w:p>
    <w:p w14:paraId="12266EFC"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This bulletin describes the provider rate increases that the Divisions of Health Benefits (DHB) has determined can be supported by the appropriated funding. In determining the applicability and amount of the rate increase, DHB drew on input and collaboration from DHB policy experts and program managers, including 1915(c) waiver experts, along with others within the Department of Health and Human Services (DHHS) familiar with the service delivery modes of the impacted services.</w:t>
      </w:r>
    </w:p>
    <w:p w14:paraId="677C67A0"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While the increases vary by service type/payment methodology, they share a uniform unit increase of $1.13 per 15-minute increment of service. These rate increases will be effective July 1, 2023, and will be included retroactively in adjusted capitation rates for Local Management Entities/Managed Care Organizations (LME/MCOs). LME/MCOs will be required contractually to reprocess claims for dates of service on or after July 1, 2023, to ensure that providers receive the increased rates beginning on that date.</w:t>
      </w:r>
    </w:p>
    <w:p w14:paraId="2AA05A2A"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Contract amendments are in development that will require LME/MCOs to increase reimbursement levels by the posted Innovations DCW add-on amounts (see Table 1 below) relative to February 2020 pre-COVID reimbursement levels plus the HCBS DCW rate increases effective March 2022. See </w:t>
      </w:r>
      <w:hyperlink r:id="rId5" w:history="1">
        <w:r w:rsidRPr="00DF29B8">
          <w:rPr>
            <w:rFonts w:ascii="Times New Roman" w:eastAsia="Times New Roman" w:hAnsi="Times New Roman" w:cs="Times New Roman"/>
            <w:color w:val="3B75A9"/>
            <w:kern w:val="0"/>
            <w:sz w:val="24"/>
            <w:szCs w:val="24"/>
            <w:u w:val="single"/>
            <w14:ligatures w14:val="none"/>
          </w:rPr>
          <w:t>SPECIAL BULLETIN COVID-19 #239: Update on Temporary Rate Increases and HCBS DCW Rate Implementation</w:t>
        </w:r>
      </w:hyperlink>
      <w:r w:rsidRPr="00DF29B8">
        <w:rPr>
          <w:rFonts w:ascii="Times New Roman" w:eastAsia="Times New Roman" w:hAnsi="Times New Roman" w:cs="Times New Roman"/>
          <w:kern w:val="0"/>
          <w:sz w:val="24"/>
          <w:szCs w:val="24"/>
          <w14:ligatures w14:val="none"/>
        </w:rPr>
        <w:t> for more information. Discretionary rate increases made by LME/MCOs since pre-COVID levels (in addition to the March 2022 increases) may be considered in the fulfillment of this requirement.</w:t>
      </w:r>
    </w:p>
    <w:p w14:paraId="64AFCC75"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the legislation, Innovations waiver services providers must document to LME/MCOs their commitment to and use of the rate increases “to the benefit of its Innovations direct care workers, including in the form of an increase in hourly wage, benefits, or associated payroll costs.” DHB is directed to provide the standards for documentation, including verifiable methods of accounting, that LME/MCOs must require for verification that the provider used the rate increase in the manner required by legislation.</w:t>
      </w:r>
    </w:p>
    <w:p w14:paraId="47437E1E"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 xml:space="preserve">Providers receiving a rate increase shall keep documentation of the use of the rate increase and make the documentation available upon request by DHB or by the relevant LME/MCO. DHB is directed to recoup part, or </w:t>
      </w:r>
      <w:proofErr w:type="gramStart"/>
      <w:r w:rsidRPr="00DF29B8">
        <w:rPr>
          <w:rFonts w:ascii="Times New Roman" w:eastAsia="Times New Roman" w:hAnsi="Times New Roman" w:cs="Times New Roman"/>
          <w:kern w:val="0"/>
          <w:sz w:val="24"/>
          <w:szCs w:val="24"/>
          <w14:ligatures w14:val="none"/>
        </w:rPr>
        <w:t>all of</w:t>
      </w:r>
      <w:proofErr w:type="gramEnd"/>
      <w:r w:rsidRPr="00DF29B8">
        <w:rPr>
          <w:rFonts w:ascii="Times New Roman" w:eastAsia="Times New Roman" w:hAnsi="Times New Roman" w:cs="Times New Roman"/>
          <w:kern w:val="0"/>
          <w:sz w:val="24"/>
          <w:szCs w:val="24"/>
          <w14:ligatures w14:val="none"/>
        </w:rPr>
        <w:t xml:space="preserve"> the funds related to the rate increase received by a provider pursuant to this section if DHB determines that the provider did not use the increased funding to the benefit of its Innovations direct care worker employees.</w:t>
      </w:r>
    </w:p>
    <w:p w14:paraId="034A2808" w14:textId="77777777" w:rsidR="00DF29B8" w:rsidRPr="00DF29B8" w:rsidRDefault="00DF29B8" w:rsidP="00DF29B8">
      <w:pPr>
        <w:spacing w:after="100" w:afterAutospacing="1" w:line="240" w:lineRule="auto"/>
        <w:outlineLvl w:val="1"/>
        <w:rPr>
          <w:rFonts w:ascii="Times New Roman" w:eastAsia="Times New Roman" w:hAnsi="Times New Roman" w:cs="Times New Roman"/>
          <w:b/>
          <w:bCs/>
          <w:kern w:val="0"/>
          <w:sz w:val="36"/>
          <w:szCs w:val="36"/>
          <w14:ligatures w14:val="none"/>
        </w:rPr>
      </w:pPr>
      <w:r w:rsidRPr="00DF29B8">
        <w:rPr>
          <w:rFonts w:ascii="Times New Roman" w:eastAsia="Times New Roman" w:hAnsi="Times New Roman" w:cs="Times New Roman"/>
          <w:b/>
          <w:bCs/>
          <w:kern w:val="0"/>
          <w:sz w:val="36"/>
          <w:szCs w:val="36"/>
          <w14:ligatures w14:val="none"/>
        </w:rPr>
        <w:t>Analysis and Allocation of the Funding</w:t>
      </w:r>
    </w:p>
    <w:p w14:paraId="4EEE7A4C"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lastRenderedPageBreak/>
        <w:t>Similar to the approach used for distributing the Home and Community-Based Services (HBCS) DCW funding provided by the General Assembly in 2022, DHB identified the set of services that met the stated intent of the legislation, used historical data to estimate the total number of 15-minute units of service expected to be provided annually across that set of services, and then calculated how much of a uniform dollar increase could be supported per-15 minute unit to every included service type.</w:t>
      </w:r>
    </w:p>
    <w:p w14:paraId="2DD682B7"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Based on several criteria, such as occupation types who already earn wages exceeding $18/hour, services not typically provided by a direct care worker, or services classified as goods for which hourly wages are not relevant, some service types were excluded. Thorough internal discussions of the criteria guided DHB to narrow the set of Innovations 1915(c) waiver services to be included in the uniform per 15-minute unit rate increase. The services excluded from and included in the rate increase are identified below.</w:t>
      </w:r>
    </w:p>
    <w:p w14:paraId="19616D71" w14:textId="77777777" w:rsidR="00DF29B8" w:rsidRPr="00DF29B8" w:rsidRDefault="00DF29B8" w:rsidP="00DF29B8">
      <w:pPr>
        <w:spacing w:after="100" w:afterAutospacing="1" w:line="240" w:lineRule="auto"/>
        <w:outlineLvl w:val="2"/>
        <w:rPr>
          <w:rFonts w:ascii="Times New Roman" w:eastAsia="Times New Roman" w:hAnsi="Times New Roman" w:cs="Times New Roman"/>
          <w:b/>
          <w:bCs/>
          <w:kern w:val="0"/>
          <w:sz w:val="27"/>
          <w:szCs w:val="27"/>
          <w14:ligatures w14:val="none"/>
        </w:rPr>
      </w:pPr>
      <w:r w:rsidRPr="00DF29B8">
        <w:rPr>
          <w:rFonts w:ascii="Times New Roman" w:eastAsia="Times New Roman" w:hAnsi="Times New Roman" w:cs="Times New Roman"/>
          <w:b/>
          <w:bCs/>
          <w:kern w:val="0"/>
          <w:sz w:val="27"/>
          <w:szCs w:val="27"/>
          <w14:ligatures w14:val="none"/>
        </w:rPr>
        <w:t xml:space="preserve">Innovations Waiver Services Not Receiving Increases as Part of this </w:t>
      </w:r>
      <w:proofErr w:type="gramStart"/>
      <w:r w:rsidRPr="00DF29B8">
        <w:rPr>
          <w:rFonts w:ascii="Times New Roman" w:eastAsia="Times New Roman" w:hAnsi="Times New Roman" w:cs="Times New Roman"/>
          <w:b/>
          <w:bCs/>
          <w:kern w:val="0"/>
          <w:sz w:val="27"/>
          <w:szCs w:val="27"/>
          <w14:ligatures w14:val="none"/>
        </w:rPr>
        <w:t>Initiative</w:t>
      </w:r>
      <w:proofErr w:type="gramEnd"/>
    </w:p>
    <w:p w14:paraId="49B03C0D"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As noted above, based on one or more criteria, DHB determined that each of the following Innovations waiver services should not be included when allocating the funding:</w:t>
      </w:r>
    </w:p>
    <w:p w14:paraId="08FC9AD0" w14:textId="77777777" w:rsidR="00DF29B8" w:rsidRPr="00DF29B8" w:rsidRDefault="00DF29B8" w:rsidP="00DF29B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Individual goods and services</w:t>
      </w:r>
    </w:p>
    <w:p w14:paraId="5DCBDA1A" w14:textId="77777777" w:rsidR="00DF29B8" w:rsidRPr="00DF29B8" w:rsidRDefault="00DF29B8" w:rsidP="00DF29B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Home-delivered meals</w:t>
      </w:r>
    </w:p>
    <w:p w14:paraId="707B0EA7" w14:textId="77777777" w:rsidR="00DF29B8" w:rsidRPr="00DF29B8" w:rsidRDefault="00DF29B8" w:rsidP="00DF29B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Assistive technology</w:t>
      </w:r>
    </w:p>
    <w:p w14:paraId="3BEE1C7F" w14:textId="77777777" w:rsidR="00DF29B8" w:rsidRPr="00DF29B8" w:rsidRDefault="00DF29B8" w:rsidP="00DF29B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Home and vehicle modifications</w:t>
      </w:r>
    </w:p>
    <w:p w14:paraId="38C8097B" w14:textId="77777777" w:rsidR="00DF29B8" w:rsidRPr="00DF29B8" w:rsidRDefault="00DF29B8" w:rsidP="00DF29B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navigator and community transition</w:t>
      </w:r>
    </w:p>
    <w:p w14:paraId="6D208940" w14:textId="77777777" w:rsidR="00DF29B8" w:rsidRPr="00DF29B8" w:rsidRDefault="00DF29B8" w:rsidP="00DF29B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Natural support education</w:t>
      </w:r>
    </w:p>
    <w:p w14:paraId="143E46BA" w14:textId="77777777" w:rsidR="00DF29B8" w:rsidRPr="00DF29B8" w:rsidRDefault="00DF29B8" w:rsidP="00DF29B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Specialized and financial consultative services</w:t>
      </w:r>
    </w:p>
    <w:p w14:paraId="342C0565" w14:textId="77777777" w:rsidR="00DF29B8" w:rsidRPr="00DF29B8" w:rsidRDefault="00DF29B8" w:rsidP="00DF29B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Crisis services and consultation</w:t>
      </w:r>
    </w:p>
    <w:p w14:paraId="17D7B388" w14:textId="77777777" w:rsidR="00DF29B8" w:rsidRPr="00DF29B8" w:rsidRDefault="00DF29B8" w:rsidP="00DF29B8">
      <w:pPr>
        <w:spacing w:after="100" w:afterAutospacing="1" w:line="240" w:lineRule="auto"/>
        <w:outlineLvl w:val="2"/>
        <w:rPr>
          <w:rFonts w:ascii="Times New Roman" w:eastAsia="Times New Roman" w:hAnsi="Times New Roman" w:cs="Times New Roman"/>
          <w:b/>
          <w:bCs/>
          <w:kern w:val="0"/>
          <w:sz w:val="27"/>
          <w:szCs w:val="27"/>
          <w14:ligatures w14:val="none"/>
        </w:rPr>
      </w:pPr>
      <w:r w:rsidRPr="00DF29B8">
        <w:rPr>
          <w:rFonts w:ascii="Times New Roman" w:eastAsia="Times New Roman" w:hAnsi="Times New Roman" w:cs="Times New Roman"/>
          <w:b/>
          <w:bCs/>
          <w:kern w:val="0"/>
          <w:sz w:val="27"/>
          <w:szCs w:val="27"/>
          <w14:ligatures w14:val="none"/>
        </w:rPr>
        <w:t>Innovations Waiver Services Receiving Increases</w:t>
      </w:r>
    </w:p>
    <w:p w14:paraId="490F38F4"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Applying the exclusions referenced above led to the following list of Innovations waiver services to include in the allocation of funding:</w:t>
      </w:r>
    </w:p>
    <w:p w14:paraId="6808CC98" w14:textId="77777777" w:rsidR="00DF29B8" w:rsidRPr="00DF29B8" w:rsidRDefault="00DF29B8" w:rsidP="00DF29B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Networking</w:t>
      </w:r>
    </w:p>
    <w:p w14:paraId="349DC8E6" w14:textId="77777777" w:rsidR="00DF29B8" w:rsidRPr="00DF29B8" w:rsidRDefault="00DF29B8" w:rsidP="00DF29B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Residential Supports</w:t>
      </w:r>
    </w:p>
    <w:p w14:paraId="2430E5B1" w14:textId="77777777" w:rsidR="00DF29B8" w:rsidRPr="00DF29B8" w:rsidRDefault="00DF29B8" w:rsidP="00DF29B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Supported Employment</w:t>
      </w:r>
    </w:p>
    <w:p w14:paraId="02E86B61" w14:textId="77777777" w:rsidR="00DF29B8" w:rsidRPr="00DF29B8" w:rsidRDefault="00DF29B8" w:rsidP="00DF29B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Respite Care</w:t>
      </w:r>
    </w:p>
    <w:p w14:paraId="296C24EF" w14:textId="77777777" w:rsidR="00DF29B8" w:rsidRPr="00DF29B8" w:rsidRDefault="00DF29B8" w:rsidP="00DF29B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Living and Supports</w:t>
      </w:r>
    </w:p>
    <w:p w14:paraId="34D19D40" w14:textId="77777777" w:rsidR="00DF29B8" w:rsidRPr="00DF29B8" w:rsidRDefault="00DF29B8" w:rsidP="00DF29B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Day Supports</w:t>
      </w:r>
    </w:p>
    <w:p w14:paraId="688A621C" w14:textId="77777777" w:rsidR="00DF29B8" w:rsidRPr="00DF29B8" w:rsidRDefault="00DF29B8" w:rsidP="00DF29B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Supported Living</w:t>
      </w:r>
    </w:p>
    <w:p w14:paraId="1FE2BF6A"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"Table 1" at the end of this document summarizes each of the included services by procedure code and notes key assumptions considered as part of this analysis.</w:t>
      </w:r>
    </w:p>
    <w:p w14:paraId="58D606EB"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The list of codes considered in this analysis are based on services offered under the State’s LME/MCO program; included codes are based on historical CY 2019 utilization and other State guidance of emerging services since CY 2019. Additional modifier combinations may exist beyond what is presented in the table. In these instances, the LME/MCOs will need to work with DHB to determine whether the service is eligible for the provider rate increases presented in these summaries. DHB will update LME/MCOs and providers through addenda to this bulletin, as needed, regarding any additional codes that are determined to be eligible to receive increases.</w:t>
      </w:r>
    </w:p>
    <w:p w14:paraId="25D4552B" w14:textId="77777777" w:rsidR="00DF29B8" w:rsidRPr="00DF29B8" w:rsidRDefault="00DF29B8" w:rsidP="00DF29B8">
      <w:pPr>
        <w:spacing w:after="100" w:afterAutospacing="1" w:line="240" w:lineRule="auto"/>
        <w:outlineLvl w:val="1"/>
        <w:rPr>
          <w:rFonts w:ascii="Times New Roman" w:eastAsia="Times New Roman" w:hAnsi="Times New Roman" w:cs="Times New Roman"/>
          <w:b/>
          <w:bCs/>
          <w:kern w:val="0"/>
          <w:sz w:val="36"/>
          <w:szCs w:val="36"/>
          <w14:ligatures w14:val="none"/>
        </w:rPr>
      </w:pPr>
      <w:r w:rsidRPr="00DF29B8">
        <w:rPr>
          <w:rFonts w:ascii="Times New Roman" w:eastAsia="Times New Roman" w:hAnsi="Times New Roman" w:cs="Times New Roman"/>
          <w:b/>
          <w:bCs/>
          <w:kern w:val="0"/>
          <w:sz w:val="36"/>
          <w:szCs w:val="36"/>
          <w14:ligatures w14:val="none"/>
        </w:rPr>
        <w:t>Estimated Provider Rate Increases by Type of Service</w:t>
      </w:r>
    </w:p>
    <w:p w14:paraId="5DD40665"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lastRenderedPageBreak/>
        <w:t>The calculations that follow in Table 1 summarize the development of the uniform $1.13 per 15-minute unit increase.</w:t>
      </w:r>
    </w:p>
    <w:p w14:paraId="2A063E3D"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The allocation method uses the available budget divided by historical utilization of included services converted to a 15-minute, per direct care worker basis to calculate the uniform rate add-on that can be applied across all included services. Under this scenario, a service with a lower current rate will receive a bigger percentage change than a service with a higher current rate. For services delivered to multiple individuals at the same time, the add-on is divided by the group size to arrive at the amount to add to the current fee schedule rate.</w:t>
      </w:r>
    </w:p>
    <w:p w14:paraId="4C8E7311"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For services with a unit of service other than 15-minutes, the ultimate rate add-on is derived by multiplying the per unit add-on by the number of 15-minute units assumed within a day along with consideration if it is a service delivered by a single direct care worker to multiple individuals (i.e., group).</w:t>
      </w:r>
    </w:p>
    <w:p w14:paraId="0FE122E7" w14:textId="77777777" w:rsidR="00DF29B8" w:rsidRPr="00DF29B8" w:rsidRDefault="00DF29B8" w:rsidP="00DF29B8">
      <w:pPr>
        <w:spacing w:after="100" w:afterAutospacing="1" w:line="240" w:lineRule="auto"/>
        <w:outlineLvl w:val="1"/>
        <w:rPr>
          <w:rFonts w:ascii="Times New Roman" w:eastAsia="Times New Roman" w:hAnsi="Times New Roman" w:cs="Times New Roman"/>
          <w:b/>
          <w:bCs/>
          <w:kern w:val="0"/>
          <w:sz w:val="36"/>
          <w:szCs w:val="36"/>
          <w14:ligatures w14:val="none"/>
        </w:rPr>
      </w:pPr>
      <w:r w:rsidRPr="00DF29B8">
        <w:rPr>
          <w:rFonts w:ascii="Times New Roman" w:eastAsia="Times New Roman" w:hAnsi="Times New Roman" w:cs="Times New Roman"/>
          <w:b/>
          <w:bCs/>
          <w:kern w:val="0"/>
          <w:sz w:val="36"/>
          <w:szCs w:val="36"/>
          <w14:ligatures w14:val="none"/>
        </w:rPr>
        <w:t>Table 1</w:t>
      </w:r>
    </w:p>
    <w:p w14:paraId="4B04B595"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This table summarizes all services included for the purposes of the Innovations DCW rate increases along with assumptions made for purposes of this analysis. The services are split by program. Where applicable, self-directed and agency modalities of the included procedure codes are included and subject to the noted increase.</w:t>
      </w:r>
    </w:p>
    <w:tbl>
      <w:tblPr>
        <w:tblpPr w:leftFromText="45" w:rightFromText="45" w:topFromText="90" w:bottomFromText="90" w:vertAnchor="text"/>
        <w:tblW w:w="11550" w:type="dxa"/>
        <w:tblCellSpacing w:w="0" w:type="dxa"/>
        <w:tblCellMar>
          <w:left w:w="0" w:type="dxa"/>
          <w:right w:w="0" w:type="dxa"/>
        </w:tblCellMar>
        <w:tblLook w:val="04A0" w:firstRow="1" w:lastRow="0" w:firstColumn="1" w:lastColumn="0" w:noHBand="0" w:noVBand="1"/>
      </w:tblPr>
      <w:tblGrid>
        <w:gridCol w:w="1573"/>
        <w:gridCol w:w="3474"/>
        <w:gridCol w:w="1209"/>
        <w:gridCol w:w="1421"/>
        <w:gridCol w:w="1421"/>
        <w:gridCol w:w="2452"/>
      </w:tblGrid>
      <w:tr w:rsidR="00DF29B8" w:rsidRPr="00DF29B8" w14:paraId="320A453C" w14:textId="77777777" w:rsidTr="00DF29B8">
        <w:trPr>
          <w:tblHeader/>
          <w:tblCellSpacing w:w="0" w:type="dxa"/>
        </w:trPr>
        <w:tc>
          <w:tcPr>
            <w:tcW w:w="108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0EB701C7"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lastRenderedPageBreak/>
              <w:t>(A)</w:t>
            </w:r>
          </w:p>
        </w:tc>
        <w:tc>
          <w:tcPr>
            <w:tcW w:w="306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1DCBF14F"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(B)</w:t>
            </w:r>
          </w:p>
        </w:tc>
        <w:tc>
          <w:tcPr>
            <w:tcW w:w="90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33F51826"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(C)</w:t>
            </w:r>
          </w:p>
        </w:tc>
        <w:tc>
          <w:tcPr>
            <w:tcW w:w="99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5CAC4956"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(D)</w:t>
            </w:r>
          </w:p>
        </w:tc>
        <w:tc>
          <w:tcPr>
            <w:tcW w:w="99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588658C9"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(E)</w:t>
            </w:r>
          </w:p>
        </w:tc>
        <w:tc>
          <w:tcPr>
            <w:tcW w:w="216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3508EA1E"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(F) = $1.13 x (D) / (E)</w:t>
            </w:r>
          </w:p>
        </w:tc>
      </w:tr>
      <w:tr w:rsidR="00DF29B8" w:rsidRPr="00DF29B8" w14:paraId="23B714FB" w14:textId="77777777" w:rsidTr="00DF29B8">
        <w:trPr>
          <w:tblHeader/>
          <w:tblCellSpacing w:w="0" w:type="dxa"/>
        </w:trPr>
        <w:tc>
          <w:tcPr>
            <w:tcW w:w="108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4F0EDB73"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Procedure Code</w:t>
            </w:r>
          </w:p>
        </w:tc>
        <w:tc>
          <w:tcPr>
            <w:tcW w:w="306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08059DA7"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Service Description</w:t>
            </w:r>
          </w:p>
        </w:tc>
        <w:tc>
          <w:tcPr>
            <w:tcW w:w="90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5A7DBF19"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Unit of Service</w:t>
            </w:r>
          </w:p>
        </w:tc>
        <w:tc>
          <w:tcPr>
            <w:tcW w:w="99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2518FB19"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Assumed Number of 15 min Units</w:t>
            </w:r>
          </w:p>
        </w:tc>
        <w:tc>
          <w:tcPr>
            <w:tcW w:w="99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4A65BFD4"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Assumed Group/ Home Size</w:t>
            </w:r>
          </w:p>
        </w:tc>
        <w:tc>
          <w:tcPr>
            <w:tcW w:w="2160" w:type="dxa"/>
            <w:tcBorders>
              <w:top w:val="single" w:sz="6" w:space="0" w:color="FFFFFF"/>
              <w:left w:val="single" w:sz="6" w:space="0" w:color="FFFFFF"/>
              <w:bottom w:val="nil"/>
              <w:right w:val="single" w:sz="6" w:space="0" w:color="FFFFFF"/>
            </w:tcBorders>
            <w:shd w:val="clear" w:color="auto" w:fill="3B75A9"/>
            <w:tcMar>
              <w:top w:w="24" w:type="dxa"/>
              <w:left w:w="144" w:type="dxa"/>
              <w:bottom w:w="24" w:type="dxa"/>
              <w:right w:w="144" w:type="dxa"/>
            </w:tcMar>
            <w:vAlign w:val="center"/>
            <w:hideMark/>
          </w:tcPr>
          <w:p w14:paraId="3C7D0860" w14:textId="77777777" w:rsidR="00DF29B8" w:rsidRPr="00DF29B8" w:rsidRDefault="00DF29B8" w:rsidP="00DF29B8">
            <w:pPr>
              <w:spacing w:after="0" w:line="240" w:lineRule="auto"/>
              <w:rPr>
                <w:rFonts w:ascii="Times New Roman" w:eastAsia="Times New Roman" w:hAnsi="Times New Roman" w:cs="Times New Roman"/>
                <w:b/>
                <w:bCs/>
                <w:color w:val="FFFFFF"/>
                <w:kern w:val="0"/>
                <w:sz w:val="24"/>
                <w:szCs w:val="24"/>
                <w14:ligatures w14:val="none"/>
              </w:rPr>
            </w:pPr>
            <w:r w:rsidRPr="00DF29B8">
              <w:rPr>
                <w:rFonts w:ascii="Times New Roman" w:eastAsia="Times New Roman" w:hAnsi="Times New Roman" w:cs="Times New Roman"/>
                <w:b/>
                <w:bCs/>
                <w:color w:val="FFFFFF"/>
                <w:kern w:val="0"/>
                <w:sz w:val="24"/>
                <w:szCs w:val="24"/>
                <w14:ligatures w14:val="none"/>
              </w:rPr>
              <w:t>Innovations DCW </w:t>
            </w:r>
            <w:r w:rsidRPr="00DF29B8">
              <w:rPr>
                <w:rFonts w:ascii="Times New Roman" w:eastAsia="Times New Roman" w:hAnsi="Times New Roman" w:cs="Times New Roman"/>
                <w:b/>
                <w:bCs/>
                <w:color w:val="FFFFFF"/>
                <w:kern w:val="0"/>
                <w:sz w:val="24"/>
                <w:szCs w:val="24"/>
                <w14:ligatures w14:val="none"/>
              </w:rPr>
              <w:br/>
              <w:t>Add-On</w:t>
            </w:r>
          </w:p>
        </w:tc>
      </w:tr>
      <w:tr w:rsidR="00DF29B8" w:rsidRPr="00DF29B8" w14:paraId="18819E85" w14:textId="77777777" w:rsidTr="00DF29B8">
        <w:trPr>
          <w:tblCellSpacing w:w="0" w:type="dxa"/>
        </w:trPr>
        <w:tc>
          <w:tcPr>
            <w:tcW w:w="9180" w:type="dxa"/>
            <w:gridSpan w:val="6"/>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41ACAD5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b/>
                <w:bCs/>
                <w:kern w:val="0"/>
                <w:sz w:val="24"/>
                <w:szCs w:val="24"/>
                <w14:ligatures w14:val="none"/>
              </w:rPr>
              <w:t>Innovations Waiver Services</w:t>
            </w:r>
          </w:p>
        </w:tc>
      </w:tr>
      <w:tr w:rsidR="00DF29B8" w:rsidRPr="00DF29B8" w14:paraId="3C6D9816"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FAB209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H2015</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230E3D9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Networking – Individual</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745E741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6697ADAE"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63EECFA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5BA0A1D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$1.13</w:t>
            </w:r>
          </w:p>
        </w:tc>
      </w:tr>
      <w:tr w:rsidR="00DF29B8" w:rsidRPr="00DF29B8" w14:paraId="1E81FDE1"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3705BCF"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H2015 HQ</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187EE98C"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Networking – Group</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7D24F1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3A30034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EFAE5A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3</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5A4830B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$0.38</w:t>
            </w:r>
          </w:p>
        </w:tc>
      </w:tr>
      <w:tr w:rsidR="00DF29B8" w:rsidRPr="00DF29B8" w14:paraId="305185B3"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7BF55DF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H2016</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0F2242D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Residential Supports</w:t>
            </w:r>
            <w:r w:rsidRPr="00DF29B8">
              <w:rPr>
                <w:rFonts w:ascii="Times New Roman" w:eastAsia="Times New Roman" w:hAnsi="Times New Roman" w:cs="Times New Roman"/>
                <w:kern w:val="0"/>
                <w:sz w:val="18"/>
                <w:szCs w:val="18"/>
                <w:vertAlign w:val="superscript"/>
                <w14:ligatures w14:val="none"/>
              </w:rPr>
              <w:t>1</w:t>
            </w:r>
            <w:r w:rsidRPr="00DF29B8">
              <w:rPr>
                <w:rFonts w:ascii="Times New Roman" w:eastAsia="Times New Roman" w:hAnsi="Times New Roman" w:cs="Times New Roman"/>
                <w:kern w:val="0"/>
                <w:sz w:val="24"/>
                <w:szCs w:val="24"/>
                <w14:ligatures w14:val="none"/>
              </w:rPr>
              <w:t> – Level 1</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06B0CD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diem</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15D8930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64</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08D8E92"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2.5</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41A349C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$28.93</w:t>
            </w:r>
          </w:p>
        </w:tc>
      </w:tr>
      <w:tr w:rsidR="00DF29B8" w:rsidRPr="00DF29B8" w14:paraId="54BE3322"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4282DEEC"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H2016 HI</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31AED4BC"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Residential Supports</w:t>
            </w:r>
            <w:r w:rsidRPr="00DF29B8">
              <w:rPr>
                <w:rFonts w:ascii="Times New Roman" w:eastAsia="Times New Roman" w:hAnsi="Times New Roman" w:cs="Times New Roman"/>
                <w:kern w:val="0"/>
                <w:sz w:val="18"/>
                <w:szCs w:val="18"/>
                <w:vertAlign w:val="superscript"/>
                <w14:ligatures w14:val="none"/>
              </w:rPr>
              <w:t>1</w:t>
            </w:r>
            <w:r w:rsidRPr="00DF29B8">
              <w:rPr>
                <w:rFonts w:ascii="Times New Roman" w:eastAsia="Times New Roman" w:hAnsi="Times New Roman" w:cs="Times New Roman"/>
                <w:kern w:val="0"/>
                <w:sz w:val="24"/>
                <w:szCs w:val="24"/>
                <w14:ligatures w14:val="none"/>
              </w:rPr>
              <w:t> – Level 4</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1B23F156"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diem</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4CEE3D3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64</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6AAE6F8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2.5</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40FA132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$28.93</w:t>
            </w:r>
          </w:p>
        </w:tc>
      </w:tr>
      <w:tr w:rsidR="00DF29B8" w:rsidRPr="00DF29B8" w14:paraId="43A9CF65"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1FBC896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H2025</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1EEF028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Supported Employment Services – Individual</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524139B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2B508D5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C4BAE6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0E6E972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$1.13</w:t>
            </w:r>
          </w:p>
        </w:tc>
      </w:tr>
      <w:tr w:rsidR="00DF29B8" w:rsidRPr="00DF29B8" w14:paraId="549CD683"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648624D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H2025 HQ</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093F389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Supported Employment Services – Group</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96A204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7659C42"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702886F6"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5DCE764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$0.57</w:t>
            </w:r>
          </w:p>
        </w:tc>
      </w:tr>
      <w:tr w:rsidR="00DF29B8" w:rsidRPr="00DF29B8" w14:paraId="2A767996"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1FDE536E"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S5150</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2F3375C2"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Respite Care – Community Individual</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6439624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087D011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EA0608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29A4986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$1.13</w:t>
            </w:r>
          </w:p>
        </w:tc>
      </w:tr>
      <w:tr w:rsidR="00DF29B8" w:rsidRPr="00DF29B8" w14:paraId="1D27216C"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1E2339C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S5150 HQ</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486B2E7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Respite Care – Community Group</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2E1D85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3D35E816"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815635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3</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4790E82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$0.38</w:t>
            </w:r>
          </w:p>
        </w:tc>
      </w:tr>
      <w:tr w:rsidR="00DF29B8" w:rsidRPr="00DF29B8" w14:paraId="43E3E731"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0139EC6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S5150 US</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262DE4EF"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Respite Care – Institutional</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9B4784C"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diem</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2B77C7E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64</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2D3D95D5"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3</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2EA9D1D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$24.11</w:t>
            </w:r>
          </w:p>
        </w:tc>
      </w:tr>
      <w:tr w:rsidR="00DF29B8" w:rsidRPr="00DF29B8" w14:paraId="0FE7A4A3"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19292496"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T1005</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A6D438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Nursing Respite</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2CC4F60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1B20204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N/A</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3A83D9B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6F439CE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$1.13</w:t>
            </w:r>
          </w:p>
        </w:tc>
      </w:tr>
      <w:tr w:rsidR="00DF29B8" w:rsidRPr="00DF29B8" w14:paraId="3B558E36"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4A3BCC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T2012</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588E2E0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Living and Supports Community – Individual</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6187C50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09EE0F5"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5A28E60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6E0E72C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$1.13</w:t>
            </w:r>
          </w:p>
        </w:tc>
      </w:tr>
      <w:tr w:rsidR="00DF29B8" w:rsidRPr="00DF29B8" w14:paraId="65D5E9D7"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C3D92B2"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T2012 HQ</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413191C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Living and Supports Community – Group</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25B2545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455A474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336E299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243D7C4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$0.57</w:t>
            </w:r>
          </w:p>
        </w:tc>
      </w:tr>
      <w:tr w:rsidR="00DF29B8" w:rsidRPr="00DF29B8" w14:paraId="578CC6F5"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5A78B77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T2012 GC</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642352AE"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Living and Supports Live-in Caregiver – Individual</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A27C01E"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22020FC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422EBD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0ABEDF6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$1.13</w:t>
            </w:r>
          </w:p>
        </w:tc>
      </w:tr>
      <w:tr w:rsidR="00DF29B8" w:rsidRPr="00DF29B8" w14:paraId="38211E9F"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4EB997B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T2012 GC HQ</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40FE4B3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Living and Supports Live-in Caregiver – Group</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7697F02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3DE5792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2765138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6BABC7E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$0.57</w:t>
            </w:r>
          </w:p>
        </w:tc>
      </w:tr>
      <w:tr w:rsidR="00DF29B8" w:rsidRPr="00DF29B8" w14:paraId="77E0E932"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69A07FA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T2013 TF</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D4EAF0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Living and Supports – Individual</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5E9D1BDF"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C4317AC"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4EFFD46"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45D42D76"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$1.13</w:t>
            </w:r>
          </w:p>
        </w:tc>
      </w:tr>
      <w:tr w:rsidR="00DF29B8" w:rsidRPr="00DF29B8" w14:paraId="5613FE86"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0A5F217F"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T2013 TF HQ</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7E94C23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Community Living and Supports – Group</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2BEB202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763D5B4C"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2AE4585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151EB50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$0.57</w:t>
            </w:r>
          </w:p>
        </w:tc>
      </w:tr>
      <w:tr w:rsidR="00DF29B8" w:rsidRPr="00DF29B8" w14:paraId="5D6ABC03"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581835DE"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T2014</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3D761A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Residential Supports</w:t>
            </w:r>
            <w:r w:rsidRPr="00DF29B8">
              <w:rPr>
                <w:rFonts w:ascii="Times New Roman" w:eastAsia="Times New Roman" w:hAnsi="Times New Roman" w:cs="Times New Roman"/>
                <w:kern w:val="0"/>
                <w:sz w:val="18"/>
                <w:szCs w:val="18"/>
                <w:vertAlign w:val="superscript"/>
                <w14:ligatures w14:val="none"/>
              </w:rPr>
              <w:t>1</w:t>
            </w:r>
            <w:r w:rsidRPr="00DF29B8">
              <w:rPr>
                <w:rFonts w:ascii="Times New Roman" w:eastAsia="Times New Roman" w:hAnsi="Times New Roman" w:cs="Times New Roman"/>
                <w:kern w:val="0"/>
                <w:sz w:val="24"/>
                <w:szCs w:val="24"/>
                <w14:ligatures w14:val="none"/>
              </w:rPr>
              <w:t> – Level 2</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68CA6C5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diem</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8AACDD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64</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0BA7D6ED"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2.5</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40ECF47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$28.93</w:t>
            </w:r>
          </w:p>
        </w:tc>
      </w:tr>
      <w:tr w:rsidR="00DF29B8" w:rsidRPr="00DF29B8" w14:paraId="71F486A5"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62BBAFEE"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T2020</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5592C6E"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Residential Supports</w:t>
            </w:r>
            <w:r w:rsidRPr="00DF29B8">
              <w:rPr>
                <w:rFonts w:ascii="Times New Roman" w:eastAsia="Times New Roman" w:hAnsi="Times New Roman" w:cs="Times New Roman"/>
                <w:kern w:val="0"/>
                <w:sz w:val="18"/>
                <w:szCs w:val="18"/>
                <w:vertAlign w:val="superscript"/>
                <w14:ligatures w14:val="none"/>
              </w:rPr>
              <w:t>1</w:t>
            </w:r>
            <w:r w:rsidRPr="00DF29B8">
              <w:rPr>
                <w:rFonts w:ascii="Times New Roman" w:eastAsia="Times New Roman" w:hAnsi="Times New Roman" w:cs="Times New Roman"/>
                <w:kern w:val="0"/>
                <w:sz w:val="24"/>
                <w:szCs w:val="24"/>
                <w14:ligatures w14:val="none"/>
              </w:rPr>
              <w:t> – Level 3</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90A522C"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diem</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7BFF567F"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64</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0DA6314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2.5</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3BBD8DC5"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$28.93</w:t>
            </w:r>
          </w:p>
        </w:tc>
      </w:tr>
      <w:tr w:rsidR="00DF29B8" w:rsidRPr="00DF29B8" w14:paraId="54EBF224"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CDE5E1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T2021</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09CCF685"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Day Supports – Individual</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171A157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hour</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5EB59B0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4</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7809CCA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2AFD5D2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$4.52</w:t>
            </w:r>
          </w:p>
        </w:tc>
      </w:tr>
      <w:tr w:rsidR="00DF29B8" w:rsidRPr="00DF29B8" w14:paraId="65C37153"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7AB53FC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T2021 HQ</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165C499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Day Supports – Group</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6D80551C"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hour</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6F4E0DE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4</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2078452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3</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4101310C"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$1.51</w:t>
            </w:r>
          </w:p>
        </w:tc>
      </w:tr>
      <w:tr w:rsidR="00DF29B8" w:rsidRPr="00DF29B8" w14:paraId="73805A61"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15DF606F"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T2027</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5834FA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Day Supports – Developmental Day</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09937E8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diem</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7A69D81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4</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994868F"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61FAF47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$4.52</w:t>
            </w:r>
          </w:p>
        </w:tc>
      </w:tr>
      <w:tr w:rsidR="00DF29B8" w:rsidRPr="00DF29B8" w14:paraId="4759E302"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1E183872"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T2033</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223A34F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Supported Living – Level 1</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2E0EF9D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diem</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0F938E9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32</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2AD1F665"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53E65BB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$36.16</w:t>
            </w:r>
          </w:p>
        </w:tc>
      </w:tr>
      <w:tr w:rsidR="00DF29B8" w:rsidRPr="00DF29B8" w14:paraId="0562D0BA"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5E66A7E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lastRenderedPageBreak/>
              <w:t>T2033 HI</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2344438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Supported Living – Level 2</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0CDE65A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diem</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AEDD36A"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64</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20D4620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0EC06156"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$72.32</w:t>
            </w:r>
          </w:p>
        </w:tc>
      </w:tr>
      <w:tr w:rsidR="00DF29B8" w:rsidRPr="00DF29B8" w14:paraId="63EE4E93"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3AEE10B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T2033 TF</w:t>
            </w:r>
          </w:p>
        </w:tc>
        <w:tc>
          <w:tcPr>
            <w:tcW w:w="306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A0314B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Supported Living – Level 3</w:t>
            </w:r>
          </w:p>
        </w:tc>
        <w:tc>
          <w:tcPr>
            <w:tcW w:w="90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433E9615"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per diem</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53108928"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96</w:t>
            </w:r>
          </w:p>
        </w:tc>
        <w:tc>
          <w:tcPr>
            <w:tcW w:w="990" w:type="dxa"/>
            <w:tcBorders>
              <w:top w:val="single" w:sz="6" w:space="0" w:color="FFFFFF"/>
              <w:left w:val="single" w:sz="6" w:space="0" w:color="FFFFFF"/>
              <w:bottom w:val="single" w:sz="6" w:space="0" w:color="DCDCDC"/>
              <w:right w:val="single" w:sz="6" w:space="0" w:color="DCDCDC"/>
            </w:tcBorders>
            <w:shd w:val="clear" w:color="auto" w:fill="F7F7F7"/>
            <w:tcMar>
              <w:top w:w="24" w:type="dxa"/>
              <w:left w:w="144" w:type="dxa"/>
              <w:bottom w:w="24" w:type="dxa"/>
              <w:right w:w="144" w:type="dxa"/>
            </w:tcMar>
            <w:vAlign w:val="center"/>
            <w:hideMark/>
          </w:tcPr>
          <w:p w14:paraId="3C6AA21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7F7F7"/>
            <w:tcMar>
              <w:top w:w="24" w:type="dxa"/>
              <w:left w:w="144" w:type="dxa"/>
              <w:bottom w:w="24" w:type="dxa"/>
              <w:right w:w="144" w:type="dxa"/>
            </w:tcMar>
            <w:vAlign w:val="center"/>
            <w:hideMark/>
          </w:tcPr>
          <w:p w14:paraId="61D92F09"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$108.48</w:t>
            </w:r>
          </w:p>
        </w:tc>
      </w:tr>
      <w:tr w:rsidR="00DF29B8" w:rsidRPr="00DF29B8" w14:paraId="400CC5E2" w14:textId="77777777" w:rsidTr="00DF29B8">
        <w:trPr>
          <w:tblCellSpacing w:w="0" w:type="dxa"/>
        </w:trPr>
        <w:tc>
          <w:tcPr>
            <w:tcW w:w="108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4849433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T2033 U1</w:t>
            </w:r>
          </w:p>
        </w:tc>
        <w:tc>
          <w:tcPr>
            <w:tcW w:w="306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3DA5028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Supported Living – Periodic</w:t>
            </w:r>
          </w:p>
        </w:tc>
        <w:tc>
          <w:tcPr>
            <w:tcW w:w="90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7E5DE10E"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728FE04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single" w:sz="6" w:space="0" w:color="DCDCDC"/>
              <w:right w:val="single" w:sz="6" w:space="0" w:color="DCDCDC"/>
            </w:tcBorders>
            <w:shd w:val="clear" w:color="auto" w:fill="FFFFFF"/>
            <w:tcMar>
              <w:top w:w="24" w:type="dxa"/>
              <w:left w:w="144" w:type="dxa"/>
              <w:bottom w:w="24" w:type="dxa"/>
              <w:right w:w="144" w:type="dxa"/>
            </w:tcMar>
            <w:vAlign w:val="center"/>
            <w:hideMark/>
          </w:tcPr>
          <w:p w14:paraId="149AF55B"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single" w:sz="6" w:space="0" w:color="DCDCDC"/>
              <w:right w:val="nil"/>
            </w:tcBorders>
            <w:shd w:val="clear" w:color="auto" w:fill="FFFFFF"/>
            <w:tcMar>
              <w:top w:w="24" w:type="dxa"/>
              <w:left w:w="144" w:type="dxa"/>
              <w:bottom w:w="24" w:type="dxa"/>
              <w:right w:w="144" w:type="dxa"/>
            </w:tcMar>
            <w:vAlign w:val="center"/>
            <w:hideMark/>
          </w:tcPr>
          <w:p w14:paraId="17C37283"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$1.13</w:t>
            </w:r>
          </w:p>
        </w:tc>
      </w:tr>
      <w:tr w:rsidR="00DF29B8" w:rsidRPr="00DF29B8" w14:paraId="569164BC" w14:textId="77777777" w:rsidTr="00DF29B8">
        <w:trPr>
          <w:tblCellSpacing w:w="0" w:type="dxa"/>
        </w:trPr>
        <w:tc>
          <w:tcPr>
            <w:tcW w:w="1080" w:type="dxa"/>
            <w:tcBorders>
              <w:top w:val="single" w:sz="6" w:space="0" w:color="FFFFFF"/>
              <w:left w:val="single" w:sz="6" w:space="0" w:color="FFFFFF"/>
              <w:bottom w:val="nil"/>
              <w:right w:val="single" w:sz="6" w:space="0" w:color="DCDCDC"/>
            </w:tcBorders>
            <w:shd w:val="clear" w:color="auto" w:fill="F7F7F7"/>
            <w:tcMar>
              <w:top w:w="24" w:type="dxa"/>
              <w:left w:w="144" w:type="dxa"/>
              <w:bottom w:w="24" w:type="dxa"/>
              <w:right w:w="144" w:type="dxa"/>
            </w:tcMar>
            <w:vAlign w:val="center"/>
            <w:hideMark/>
          </w:tcPr>
          <w:p w14:paraId="4510551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T2033 U2</w:t>
            </w:r>
          </w:p>
        </w:tc>
        <w:tc>
          <w:tcPr>
            <w:tcW w:w="3060" w:type="dxa"/>
            <w:tcBorders>
              <w:top w:val="single" w:sz="6" w:space="0" w:color="FFFFFF"/>
              <w:left w:val="single" w:sz="6" w:space="0" w:color="FFFFFF"/>
              <w:bottom w:val="nil"/>
              <w:right w:val="single" w:sz="6" w:space="0" w:color="DCDCDC"/>
            </w:tcBorders>
            <w:shd w:val="clear" w:color="auto" w:fill="F7F7F7"/>
            <w:tcMar>
              <w:top w:w="24" w:type="dxa"/>
              <w:left w:w="144" w:type="dxa"/>
              <w:bottom w:w="24" w:type="dxa"/>
              <w:right w:w="144" w:type="dxa"/>
            </w:tcMar>
            <w:vAlign w:val="center"/>
            <w:hideMark/>
          </w:tcPr>
          <w:p w14:paraId="1E9CC246"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Supported Living – Transition</w:t>
            </w:r>
          </w:p>
        </w:tc>
        <w:tc>
          <w:tcPr>
            <w:tcW w:w="900" w:type="dxa"/>
            <w:tcBorders>
              <w:top w:val="single" w:sz="6" w:space="0" w:color="FFFFFF"/>
              <w:left w:val="single" w:sz="6" w:space="0" w:color="FFFFFF"/>
              <w:bottom w:val="nil"/>
              <w:right w:val="single" w:sz="6" w:space="0" w:color="DCDCDC"/>
            </w:tcBorders>
            <w:shd w:val="clear" w:color="auto" w:fill="F7F7F7"/>
            <w:tcMar>
              <w:top w:w="24" w:type="dxa"/>
              <w:left w:w="144" w:type="dxa"/>
              <w:bottom w:w="24" w:type="dxa"/>
              <w:right w:w="144" w:type="dxa"/>
            </w:tcMar>
            <w:vAlign w:val="center"/>
            <w:hideMark/>
          </w:tcPr>
          <w:p w14:paraId="7ED5C161"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15 min</w:t>
            </w:r>
          </w:p>
        </w:tc>
        <w:tc>
          <w:tcPr>
            <w:tcW w:w="990" w:type="dxa"/>
            <w:tcBorders>
              <w:top w:val="single" w:sz="6" w:space="0" w:color="FFFFFF"/>
              <w:left w:val="single" w:sz="6" w:space="0" w:color="FFFFFF"/>
              <w:bottom w:val="nil"/>
              <w:right w:val="single" w:sz="6" w:space="0" w:color="DCDCDC"/>
            </w:tcBorders>
            <w:shd w:val="clear" w:color="auto" w:fill="F7F7F7"/>
            <w:tcMar>
              <w:top w:w="24" w:type="dxa"/>
              <w:left w:w="144" w:type="dxa"/>
              <w:bottom w:w="24" w:type="dxa"/>
              <w:right w:w="144" w:type="dxa"/>
            </w:tcMar>
            <w:vAlign w:val="center"/>
            <w:hideMark/>
          </w:tcPr>
          <w:p w14:paraId="6968B127"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990" w:type="dxa"/>
            <w:tcBorders>
              <w:top w:val="single" w:sz="6" w:space="0" w:color="FFFFFF"/>
              <w:left w:val="single" w:sz="6" w:space="0" w:color="FFFFFF"/>
              <w:bottom w:val="nil"/>
              <w:right w:val="single" w:sz="6" w:space="0" w:color="DCDCDC"/>
            </w:tcBorders>
            <w:shd w:val="clear" w:color="auto" w:fill="F7F7F7"/>
            <w:tcMar>
              <w:top w:w="24" w:type="dxa"/>
              <w:left w:w="144" w:type="dxa"/>
              <w:bottom w:w="24" w:type="dxa"/>
              <w:right w:w="144" w:type="dxa"/>
            </w:tcMar>
            <w:vAlign w:val="center"/>
            <w:hideMark/>
          </w:tcPr>
          <w:p w14:paraId="70611C60"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w:t>
            </w:r>
          </w:p>
        </w:tc>
        <w:tc>
          <w:tcPr>
            <w:tcW w:w="2160" w:type="dxa"/>
            <w:tcBorders>
              <w:top w:val="single" w:sz="6" w:space="0" w:color="FFFFFF"/>
              <w:left w:val="single" w:sz="6" w:space="0" w:color="FFFFFF"/>
              <w:bottom w:val="nil"/>
              <w:right w:val="nil"/>
            </w:tcBorders>
            <w:shd w:val="clear" w:color="auto" w:fill="F7F7F7"/>
            <w:tcMar>
              <w:top w:w="24" w:type="dxa"/>
              <w:left w:w="144" w:type="dxa"/>
              <w:bottom w:w="24" w:type="dxa"/>
              <w:right w:w="144" w:type="dxa"/>
            </w:tcMar>
            <w:vAlign w:val="center"/>
            <w:hideMark/>
          </w:tcPr>
          <w:p w14:paraId="588A8EB4" w14:textId="77777777" w:rsidR="00DF29B8" w:rsidRPr="00DF29B8" w:rsidRDefault="00DF29B8" w:rsidP="00DF29B8">
            <w:pPr>
              <w:spacing w:after="0"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$1.13 </w:t>
            </w:r>
          </w:p>
        </w:tc>
      </w:tr>
    </w:tbl>
    <w:p w14:paraId="22D255DE"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18"/>
          <w:szCs w:val="18"/>
          <w:vertAlign w:val="superscript"/>
          <w14:ligatures w14:val="none"/>
        </w:rPr>
        <w:t>1</w:t>
      </w:r>
      <w:r w:rsidRPr="00DF29B8">
        <w:rPr>
          <w:rFonts w:ascii="Times New Roman" w:eastAsia="Times New Roman" w:hAnsi="Times New Roman" w:cs="Times New Roman"/>
          <w:kern w:val="0"/>
          <w:sz w:val="24"/>
          <w:szCs w:val="24"/>
          <w14:ligatures w14:val="none"/>
        </w:rPr>
        <w:t>Note AFL settings were included in the DCW rate add-on analysis.</w:t>
      </w:r>
    </w:p>
    <w:p w14:paraId="7A34E9C1" w14:textId="77777777" w:rsidR="00DF29B8" w:rsidRPr="00DF29B8" w:rsidRDefault="00DF29B8" w:rsidP="00DF29B8">
      <w:pPr>
        <w:spacing w:after="100" w:afterAutospacing="1" w:line="240" w:lineRule="auto"/>
        <w:outlineLvl w:val="1"/>
        <w:rPr>
          <w:rFonts w:ascii="Times New Roman" w:eastAsia="Times New Roman" w:hAnsi="Times New Roman" w:cs="Times New Roman"/>
          <w:b/>
          <w:bCs/>
          <w:kern w:val="0"/>
          <w:sz w:val="36"/>
          <w:szCs w:val="36"/>
          <w14:ligatures w14:val="none"/>
        </w:rPr>
      </w:pPr>
      <w:r w:rsidRPr="00DF29B8">
        <w:rPr>
          <w:rFonts w:ascii="Times New Roman" w:eastAsia="Times New Roman" w:hAnsi="Times New Roman" w:cs="Times New Roman"/>
          <w:b/>
          <w:bCs/>
          <w:kern w:val="0"/>
          <w:sz w:val="36"/>
          <w:szCs w:val="36"/>
          <w14:ligatures w14:val="none"/>
        </w:rPr>
        <w:t>Retroactive Dates of Service Claims That Require Reprocessing</w:t>
      </w:r>
    </w:p>
    <w:p w14:paraId="5AF89596"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r w:rsidRPr="00DF29B8">
        <w:rPr>
          <w:rFonts w:ascii="Times New Roman" w:eastAsia="Times New Roman" w:hAnsi="Times New Roman" w:cs="Times New Roman"/>
          <w:kern w:val="0"/>
          <w:sz w:val="24"/>
          <w:szCs w:val="24"/>
          <w14:ligatures w14:val="none"/>
        </w:rPr>
        <w:t>To reflect the changes noted in this bulletin, LME/MCOs are required to adjust rates for services covered in their plans that were delivered on or after July 1, 2023, and reprocess any affected claims, as applicable. As noted at the beginning of this bulletin, contract amendments are in development that will require LME/MCOs to increase reimbursement levels by the above listed Innovations DCW add-on amounts relative to February 2020 pre-COVID reimbursement levels plus the HCBS DCW rate increases effective March 2022. Discretionary rate increases made by the PIHPs since pre-COVID levels (in addition to the March 2022 increases) may be considered in the fulfillment of this requirement.</w:t>
      </w:r>
    </w:p>
    <w:p w14:paraId="0D8F7ABB" w14:textId="77777777" w:rsidR="00DF29B8" w:rsidRPr="00DF29B8" w:rsidRDefault="00DF29B8" w:rsidP="00DF29B8">
      <w:pPr>
        <w:spacing w:after="100" w:afterAutospacing="1" w:line="240" w:lineRule="auto"/>
        <w:outlineLvl w:val="1"/>
        <w:rPr>
          <w:rFonts w:ascii="Times New Roman" w:eastAsia="Times New Roman" w:hAnsi="Times New Roman" w:cs="Times New Roman"/>
          <w:b/>
          <w:bCs/>
          <w:kern w:val="0"/>
          <w:sz w:val="36"/>
          <w:szCs w:val="36"/>
          <w14:ligatures w14:val="none"/>
        </w:rPr>
      </w:pPr>
      <w:r w:rsidRPr="00DF29B8">
        <w:rPr>
          <w:rFonts w:ascii="Times New Roman" w:eastAsia="Times New Roman" w:hAnsi="Times New Roman" w:cs="Times New Roman"/>
          <w:b/>
          <w:bCs/>
          <w:kern w:val="0"/>
          <w:sz w:val="36"/>
          <w:szCs w:val="36"/>
          <w14:ligatures w14:val="none"/>
        </w:rPr>
        <w:t>Contact</w:t>
      </w:r>
    </w:p>
    <w:p w14:paraId="5464063D" w14:textId="77777777" w:rsidR="00DF29B8" w:rsidRPr="00DF29B8" w:rsidRDefault="00DF29B8" w:rsidP="00DF29B8">
      <w:pPr>
        <w:spacing w:after="100" w:afterAutospacing="1" w:line="240" w:lineRule="auto"/>
        <w:rPr>
          <w:rFonts w:ascii="Times New Roman" w:eastAsia="Times New Roman" w:hAnsi="Times New Roman" w:cs="Times New Roman"/>
          <w:kern w:val="0"/>
          <w:sz w:val="24"/>
          <w:szCs w:val="24"/>
          <w14:ligatures w14:val="none"/>
        </w:rPr>
      </w:pPr>
      <w:hyperlink r:id="rId6" w:history="1">
        <w:r w:rsidRPr="00DF29B8">
          <w:rPr>
            <w:rFonts w:ascii="Times New Roman" w:eastAsia="Times New Roman" w:hAnsi="Times New Roman" w:cs="Times New Roman"/>
            <w:color w:val="3B75A9"/>
            <w:kern w:val="0"/>
            <w:sz w:val="24"/>
            <w:szCs w:val="24"/>
            <w:u w:val="single"/>
            <w14:ligatures w14:val="none"/>
          </w:rPr>
          <w:t>Medicaid.ProviderReimbursement@dhhs.nc.gov</w:t>
        </w:r>
      </w:hyperlink>
    </w:p>
    <w:p w14:paraId="6B08B471" w14:textId="77777777" w:rsidR="003D4D08" w:rsidRDefault="003D4D08"/>
    <w:sectPr w:rsidR="003D4D08" w:rsidSect="00DF29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5463E"/>
    <w:multiLevelType w:val="multilevel"/>
    <w:tmpl w:val="09B01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B316E3"/>
    <w:multiLevelType w:val="multilevel"/>
    <w:tmpl w:val="5C0A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1233374">
    <w:abstractNumId w:val="1"/>
  </w:num>
  <w:num w:numId="2" w16cid:durableId="35974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B8"/>
    <w:rsid w:val="003D4D08"/>
    <w:rsid w:val="00DF29B8"/>
    <w:rsid w:val="00FF3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D4BC2"/>
  <w15:chartTrackingRefBased/>
  <w15:docId w15:val="{519D2260-DFB9-4427-A49F-791A7FB8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29B8"/>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DF29B8"/>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DF29B8"/>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9B8"/>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DF29B8"/>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DF29B8"/>
    <w:rPr>
      <w:rFonts w:ascii="Times New Roman" w:eastAsia="Times New Roman" w:hAnsi="Times New Roman" w:cs="Times New Roman"/>
      <w:b/>
      <w:bCs/>
      <w:kern w:val="0"/>
      <w:sz w:val="27"/>
      <w:szCs w:val="27"/>
      <w14:ligatures w14:val="none"/>
    </w:rPr>
  </w:style>
  <w:style w:type="character" w:customStyle="1" w:styleId="field">
    <w:name w:val="field"/>
    <w:basedOn w:val="DefaultParagraphFont"/>
    <w:rsid w:val="00DF29B8"/>
  </w:style>
  <w:style w:type="paragraph" w:customStyle="1" w:styleId="blogheadersummary">
    <w:name w:val="blog__header__summary"/>
    <w:basedOn w:val="Normal"/>
    <w:rsid w:val="00DF29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DF29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DF29B8"/>
    <w:rPr>
      <w:color w:val="0000FF"/>
      <w:u w:val="single"/>
    </w:rPr>
  </w:style>
  <w:style w:type="character" w:styleId="Strong">
    <w:name w:val="Strong"/>
    <w:basedOn w:val="DefaultParagraphFont"/>
    <w:uiPriority w:val="22"/>
    <w:qFormat/>
    <w:rsid w:val="00DF29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311470">
      <w:bodyDiv w:val="1"/>
      <w:marLeft w:val="0"/>
      <w:marRight w:val="0"/>
      <w:marTop w:val="0"/>
      <w:marBottom w:val="0"/>
      <w:divBdr>
        <w:top w:val="none" w:sz="0" w:space="0" w:color="auto"/>
        <w:left w:val="none" w:sz="0" w:space="0" w:color="auto"/>
        <w:bottom w:val="none" w:sz="0" w:space="0" w:color="auto"/>
        <w:right w:val="none" w:sz="0" w:space="0" w:color="auto"/>
      </w:divBdr>
      <w:divsChild>
        <w:div w:id="252130164">
          <w:marLeft w:val="0"/>
          <w:marRight w:val="0"/>
          <w:marTop w:val="0"/>
          <w:marBottom w:val="0"/>
          <w:divBdr>
            <w:top w:val="none" w:sz="0" w:space="0" w:color="auto"/>
            <w:left w:val="none" w:sz="0" w:space="0" w:color="auto"/>
            <w:bottom w:val="none" w:sz="0" w:space="0" w:color="auto"/>
            <w:right w:val="none" w:sz="0" w:space="0" w:color="auto"/>
          </w:divBdr>
          <w:divsChild>
            <w:div w:id="962081292">
              <w:marLeft w:val="0"/>
              <w:marRight w:val="0"/>
              <w:marTop w:val="0"/>
              <w:marBottom w:val="0"/>
              <w:divBdr>
                <w:top w:val="none" w:sz="0" w:space="0" w:color="auto"/>
                <w:left w:val="none" w:sz="0" w:space="0" w:color="auto"/>
                <w:bottom w:val="none" w:sz="0" w:space="0" w:color="auto"/>
                <w:right w:val="none" w:sz="0" w:space="0" w:color="auto"/>
              </w:divBdr>
            </w:div>
          </w:divsChild>
        </w:div>
        <w:div w:id="1676305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dicaid.ProviderReimbursement@dhhs.nc.gov" TargetMode="External"/><Relationship Id="rId5" Type="http://schemas.openxmlformats.org/officeDocument/2006/relationships/hyperlink" Target="https://medicaid.ncdhhs.gov/blog/2022/03/24/special-bulletin-covid-19-239-update-temporary-rate-increases-and-hcbs-dcw-rate-implement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1564</Words>
  <Characters>8917</Characters>
  <Application>Microsoft Office Word</Application>
  <DocSecurity>0</DocSecurity>
  <Lines>74</Lines>
  <Paragraphs>20</Paragraphs>
  <ScaleCrop>false</ScaleCrop>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pamela.shipman@outlook.com</dc:creator>
  <cp:keywords/>
  <dc:description/>
  <cp:lastModifiedBy>pamela.shipman@outlook.com</cp:lastModifiedBy>
  <cp:revision>1</cp:revision>
  <dcterms:created xsi:type="dcterms:W3CDTF">2023-12-07T17:38:00Z</dcterms:created>
  <dcterms:modified xsi:type="dcterms:W3CDTF">2023-12-07T17:39:00Z</dcterms:modified>
</cp:coreProperties>
</file>